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9C" w:rsidRDefault="00D4249C" w:rsidP="00D4249C">
      <w:pPr>
        <w:pStyle w:val="Caption"/>
        <w:keepNext/>
      </w:pPr>
      <w:bookmarkStart w:id="0" w:name="OLE_LINK1"/>
    </w:p>
    <w:tbl>
      <w:tblPr>
        <w:tblW w:w="0" w:type="auto"/>
        <w:tblLook w:val="04A0" w:firstRow="1" w:lastRow="0" w:firstColumn="1" w:lastColumn="0" w:noHBand="0" w:noVBand="1"/>
      </w:tblPr>
      <w:tblGrid>
        <w:gridCol w:w="883"/>
        <w:gridCol w:w="755"/>
        <w:gridCol w:w="3472"/>
        <w:gridCol w:w="1164"/>
        <w:gridCol w:w="1119"/>
        <w:gridCol w:w="1435"/>
        <w:gridCol w:w="1420"/>
        <w:gridCol w:w="1413"/>
        <w:gridCol w:w="1341"/>
        <w:gridCol w:w="866"/>
        <w:gridCol w:w="221"/>
        <w:gridCol w:w="221"/>
      </w:tblGrid>
      <w:tr w:rsidR="001D3ABE" w:rsidRPr="00C97CB3" w:rsidTr="00530C8B">
        <w:trPr>
          <w:trHeight w:val="570"/>
        </w:trPr>
        <w:tc>
          <w:tcPr>
            <w:tcW w:w="0" w:type="auto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33CCCC"/>
            <w:noWrap/>
            <w:vAlign w:val="center"/>
            <w:hideMark/>
          </w:tcPr>
          <w:p w:rsidR="001D3ABE" w:rsidRPr="001D3ABE" w:rsidRDefault="001D3ABE" w:rsidP="001D3ABE">
            <w:pPr>
              <w:pStyle w:val="NoSpacing"/>
              <w:rPr>
                <w:rFonts w:ascii="Century Gothic" w:eastAsia="Times New Roman" w:hAnsi="Century Gothic"/>
                <w:sz w:val="48"/>
              </w:rPr>
            </w:pPr>
            <w:bookmarkStart w:id="1" w:name="RANGE!A1:L27"/>
            <w:r w:rsidRPr="001D3ABE">
              <w:rPr>
                <w:rFonts w:ascii="Century Gothic" w:eastAsia="Times New Roman" w:hAnsi="Century Gothic"/>
                <w:sz w:val="48"/>
              </w:rPr>
              <w:t>Elk River Chain of Lakes Watershed Management Plan Implementation Steps</w:t>
            </w:r>
          </w:p>
          <w:bookmarkEnd w:id="1"/>
          <w:p w:rsidR="001D3ABE" w:rsidRPr="00C97CB3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</w:tr>
      <w:tr w:rsidR="00D4249C" w:rsidRPr="00C97CB3" w:rsidTr="00530C8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C97CB3">
              <w:rPr>
                <w:rFonts w:ascii="Century Gothic" w:eastAsia="Times New Roman" w:hAnsi="Century Gothic" w:cs="Times New Roman"/>
                <w:sz w:val="44"/>
                <w:szCs w:val="44"/>
              </w:rPr>
              <w:t>WQ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5B9BD5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C97CB3">
              <w:rPr>
                <w:rFonts w:ascii="Century Gothic" w:eastAsia="Times New Roman" w:hAnsi="Century Gothic" w:cs="Times New Roman"/>
                <w:sz w:val="44"/>
                <w:szCs w:val="44"/>
              </w:rPr>
              <w:t>Water Quality Monitoring</w:t>
            </w:r>
          </w:p>
        </w:tc>
      </w:tr>
      <w:tr w:rsidR="00D4249C" w:rsidRPr="00C97CB3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99"/>
            <w:noWrap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C97CB3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D4249C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 w:rsidR="001D3ABE"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D4249C" w:rsidRPr="00C97CB3" w:rsidRDefault="001D3ABE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000000" w:fill="00CC99"/>
            <w:vAlign w:val="center"/>
          </w:tcPr>
          <w:p w:rsidR="00D4249C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00CC99"/>
            <w:vAlign w:val="center"/>
          </w:tcPr>
          <w:p w:rsidR="00D4249C" w:rsidRPr="00C97CB3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D4249C" w:rsidRPr="00C97CB3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97CB3" w:rsidRPr="00C97CB3" w:rsidTr="00530C8B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Continue surface water quality monitoring conducted by various agencies, governments, and academic institutions according to their respective programs.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$200,000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Monitor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MDEQ, MDNR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Various groups monitor different bodies of water within the Watershed according to their individual protocols. Data should be share regularly with the Advisory Committee.</w:t>
            </w:r>
          </w:p>
        </w:tc>
      </w:tr>
      <w:tr w:rsidR="00C97CB3" w:rsidRPr="00C97CB3" w:rsidTr="00530C8B">
        <w:trPr>
          <w:trHeight w:val="114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Continue implementing Comprehensive Water Quality Monitoring (CWQM) program every 3 years on all lakes and streams currently included in the program.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$6,000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$18,000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Monitor  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Monitor 2022, 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TOMWC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C97CB3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TOMWC conducts monitoring, along with entities listed in WQ.1. Likewise, data should be shared regularly through the Advisory Committee and other public outreach.</w:t>
            </w:r>
          </w:p>
        </w:tc>
      </w:tr>
      <w:tr w:rsidR="00C97CB3" w:rsidRPr="00C97CB3" w:rsidTr="00530C8B">
        <w:trPr>
          <w:trHeight w:val="85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Expand CWQM monitoring parameters (PAHs, pharmaceuticals, etc.) to address newly emerging water quality threats.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$25,000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Identify, Plan, Funding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Monitor new parameter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 xml:space="preserve">Continue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TOMWC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C97CB3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Identify priority parameters, develop monitoring plan, and secure funding; begin monitoring new parameter in 2019; retain parameter (new in 2019) through 2025 monitoring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C97CB3" w:rsidRPr="00C97CB3" w:rsidTr="00530C8B">
        <w:trPr>
          <w:trHeight w:val="142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9C0159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 xml:space="preserve">Continue implementing TOMWC's Volunteer Stream Monitoring (VSM) program and expand to include the </w:t>
            </w:r>
            <w:r w:rsidRPr="00C97CB3">
              <w:rPr>
                <w:rFonts w:ascii="Century Gothic" w:eastAsia="Times New Roman" w:hAnsi="Century Gothic" w:cs="Times New Roman"/>
                <w:bCs/>
                <w:szCs w:val="22"/>
                <w:highlight w:val="yellow"/>
              </w:rPr>
              <w:t>TBD</w:t>
            </w: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$1,000/year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$9,000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Recruit and Monitor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Continue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TOMWC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C97CB3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Recruit and maintain new VSM team for three new creeks by year 2; monitor new streams and all currently monitored streams annually for 10 years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C97CB3" w:rsidRPr="00C97CB3" w:rsidTr="00530C8B">
        <w:trPr>
          <w:trHeight w:val="171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C97CB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 xml:space="preserve">Continue implementing Tip of the Mitt Watershed Council's Volunteer Lake Monitoring (VLM) program and expand to include </w:t>
            </w:r>
            <w:r w:rsidRPr="00C97CB3">
              <w:rPr>
                <w:rFonts w:ascii="Century Gothic" w:eastAsia="Times New Roman" w:hAnsi="Century Gothic" w:cs="Times New Roman"/>
                <w:bCs/>
                <w:szCs w:val="22"/>
                <w:highlight w:val="yellow"/>
              </w:rPr>
              <w:t>TBD.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NA</w:t>
            </w:r>
          </w:p>
          <w:p w:rsidR="00C97CB3" w:rsidRPr="00C97CB3" w:rsidRDefault="00C97CB3" w:rsidP="009C0159">
            <w:pPr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Recruit and Monitor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Continue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TOMWC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542F00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Recruit new lake monitors for lakes by 2019; retain monitors through 2025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C97CB3" w:rsidRPr="00C97CB3" w:rsidTr="00530C8B">
        <w:trPr>
          <w:trHeight w:val="198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Continue the Fish Contaminant Monitoring program in both lakes previously monitored and not monitored to date, following protocol established by the MDEQ/MDNR. Continue to report results via the program’s online database.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iCs/>
                <w:szCs w:val="22"/>
              </w:rPr>
              <w:t>MDEQ,</w:t>
            </w:r>
            <w:r w:rsidRPr="00C97CB3">
              <w:rPr>
                <w:rFonts w:ascii="Century Gothic" w:eastAsia="Times New Roman" w:hAnsi="Century Gothic" w:cs="Times New Roman"/>
                <w:szCs w:val="22"/>
              </w:rPr>
              <w:t xml:space="preserve"> MDNR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C97CB3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Monitor surface waters within the Watershed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C97CB3" w:rsidRPr="00C97CB3" w:rsidTr="00530C8B">
        <w:trPr>
          <w:trHeight w:val="165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Determine the effectiveness of water quality protection efforts achieved through watershed management plan implementation by using the criteria set forth in the Evaluation Strategy.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$3,000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Compare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C97CB3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Compare 10 years of monitoring data with Evaluation Strategy criteria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C97CB3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C97CB3" w:rsidRPr="00C97CB3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Continue and expand as necessary the study of golden-brown benthic algae in lakes. Provide shoreline property information on the algae and its management.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$25,000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Study and Outreach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542F00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Identify project partners and study locations, secure funding, determine and implement outreach efforts as needed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C97CB3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C97CB3" w:rsidRPr="00C97CB3" w:rsidTr="00530C8B">
        <w:trPr>
          <w:trHeight w:val="171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C97CB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color w:val="000000"/>
                <w:szCs w:val="22"/>
              </w:rPr>
              <w:t xml:space="preserve">Conduct water quality and discharge monitoring of all major tributaries and at least three minor tributaries to assess the impacts to </w:t>
            </w:r>
            <w:r w:rsidRPr="00C97CB3">
              <w:rPr>
                <w:rFonts w:ascii="Century Gothic" w:eastAsia="Times New Roman" w:hAnsi="Century Gothic" w:cs="Times New Roman"/>
                <w:bCs/>
                <w:color w:val="000000"/>
                <w:szCs w:val="22"/>
                <w:highlight w:val="yellow"/>
              </w:rPr>
              <w:t>TBD</w:t>
            </w:r>
            <w:r w:rsidRPr="00C97CB3">
              <w:rPr>
                <w:rFonts w:ascii="Century Gothic" w:eastAsia="Times New Roman" w:hAnsi="Century Gothic" w:cs="Times New Roman"/>
                <w:bCs/>
                <w:color w:val="000000"/>
                <w:szCs w:val="22"/>
              </w:rPr>
              <w:t>. Additional data are needed under various conditions (wet and dry).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$10,000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Monitor and Report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542F00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Secure funding, identify methods, conduct monitoring, complete monitoring report; distribute report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C97CB3">
              <w:rPr>
                <w:rFonts w:ascii="Century Gothic" w:eastAsia="Times New Roman" w:hAnsi="Century Gothic" w:cs="Times New Roman"/>
                <w:szCs w:val="22"/>
              </w:rPr>
              <w:t xml:space="preserve">   </w:t>
            </w:r>
          </w:p>
        </w:tc>
      </w:tr>
      <w:tr w:rsidR="00C97CB3" w:rsidRPr="00C97CB3" w:rsidTr="00530C8B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Conduct septic evaluations on lakefront properties by monitoring groundwater along the shoreline and using dye tracers are used to determine if septic leachate is contaminating the lake or stream.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$300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$12,000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Develop campaign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Evaluations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3" w:rsidRPr="00C97CB3" w:rsidRDefault="00C97CB3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Continue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B3" w:rsidRPr="00C97CB3" w:rsidRDefault="00C97CB3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97CB3" w:rsidRPr="00C97CB3" w:rsidRDefault="00C97CB3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Notes: Promote septic evaluation services to lake associations in conjunction with septic outreach/campaign, develop cost/share program for lakefront property owners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C22936" w:rsidRPr="00C97CB3" w:rsidTr="00530C8B">
        <w:trPr>
          <w:trHeight w:val="231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C22936" w:rsidRPr="00C97CB3" w:rsidRDefault="00C22936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  <w:r w:rsidRPr="00C97CB3"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  <w:t>Low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C22936" w:rsidRPr="00C97CB3" w:rsidRDefault="00C22936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WQ.12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6" w:rsidRPr="00C97CB3" w:rsidRDefault="00C22936" w:rsidP="00C22936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 xml:space="preserve">Develop a nutrient budget to determine the amount of nutrients and sediments that are sequestered in </w:t>
            </w:r>
            <w:r w:rsidRPr="00C22936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C97CB3">
              <w:rPr>
                <w:rFonts w:ascii="Century Gothic" w:eastAsia="Times New Roman" w:hAnsi="Century Gothic" w:cs="Times New Roman"/>
                <w:szCs w:val="22"/>
              </w:rPr>
              <w:t>. Data should be collected over a period of several years, sampling throughout all seasons and hydrologic conditions (i.e., low, normal and high discharge).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6" w:rsidRPr="00C97CB3" w:rsidRDefault="00C22936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6" w:rsidRPr="00C97CB3" w:rsidRDefault="00C22936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$15,000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6" w:rsidRPr="00C97CB3" w:rsidRDefault="00C22936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6" w:rsidRPr="00C97CB3" w:rsidRDefault="00C22936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36" w:rsidRPr="00C97CB3" w:rsidRDefault="00C22936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>Partners, Funding, Study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36" w:rsidRPr="00C97CB3" w:rsidRDefault="00C22936" w:rsidP="00C22936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22936" w:rsidRPr="00C97CB3" w:rsidRDefault="00C22936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C97CB3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C97CB3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C97CB3">
              <w:rPr>
                <w:rFonts w:ascii="Century Gothic" w:eastAsia="Times New Roman" w:hAnsi="Century Gothic" w:cs="Times New Roman"/>
                <w:szCs w:val="22"/>
              </w:rPr>
              <w:t xml:space="preserve">Notes: Identify project partners, secure funding, </w:t>
            </w:r>
            <w:r w:rsidR="00181029" w:rsidRPr="00C97CB3">
              <w:rPr>
                <w:rFonts w:ascii="Century Gothic" w:eastAsia="Times New Roman" w:hAnsi="Century Gothic" w:cs="Times New Roman"/>
                <w:szCs w:val="22"/>
              </w:rPr>
              <w:t>and develop</w:t>
            </w:r>
            <w:r w:rsidRPr="00C97CB3">
              <w:rPr>
                <w:rFonts w:ascii="Century Gothic" w:eastAsia="Times New Roman" w:hAnsi="Century Gothic" w:cs="Times New Roman"/>
                <w:szCs w:val="22"/>
              </w:rPr>
              <w:t xml:space="preserve"> study design</w:t>
            </w:r>
            <w:r w:rsidR="00E5526F" w:rsidRPr="00C97CB3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C97CB3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</w:tbl>
    <w:p w:rsidR="00B00EAE" w:rsidRDefault="00B00EAE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712"/>
        <w:gridCol w:w="2988"/>
        <w:gridCol w:w="864"/>
        <w:gridCol w:w="1184"/>
        <w:gridCol w:w="1606"/>
        <w:gridCol w:w="1589"/>
        <w:gridCol w:w="1669"/>
        <w:gridCol w:w="1536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lastRenderedPageBreak/>
              <w:t>WL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00B050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Wetlands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337307" w:rsidRPr="00606B71" w:rsidTr="00530C8B">
        <w:trPr>
          <w:trHeight w:val="198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WL.1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Continue to review DEQ Part 303 Wetland Permit Applications to evaluate proposed wetland impacts. Submit comments to DEQ regarding anticipated wetland impacts when appropriate and work with</w:t>
            </w:r>
            <w:r>
              <w:rPr>
                <w:rFonts w:ascii="Century Gothic" w:eastAsia="Times New Roman" w:hAnsi="Century Gothic" w:cs="Times New Roman"/>
                <w:szCs w:val="22"/>
              </w:rPr>
              <w:t xml:space="preserve"> applicants to minimize impacts.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$25,000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606B71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Respond to all permit applications w</w:t>
            </w:r>
            <w:r w:rsidR="00067BE4">
              <w:rPr>
                <w:rFonts w:ascii="Century Gothic" w:eastAsia="Times New Roman" w:hAnsi="Century Gothic" w:cs="Times New Roman"/>
                <w:szCs w:val="22"/>
              </w:rPr>
              <w:t>hen potential wetland impacts are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high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337307" w:rsidRPr="00606B71" w:rsidTr="00530C8B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WL.2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Restore high-value wetlands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Identify and Funding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542F00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wetland restoration site, secure funding, develop plans; Complete one wetland restoration (&gt;5 acres)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337307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WL.3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Ground</w:t>
            </w:r>
            <w:r>
              <w:rPr>
                <w:rFonts w:ascii="Century Gothic" w:eastAsia="Times New Roman" w:hAnsi="Century Gothic" w:cs="Times New Roman"/>
                <w:szCs w:val="22"/>
              </w:rPr>
              <w:t>-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truth wetlands identified through Landscape Level Wetlands Functional Analysis to confirm high-value wetland status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Ground</w:t>
            </w:r>
            <w:r>
              <w:rPr>
                <w:rFonts w:ascii="Century Gothic" w:eastAsia="Times New Roman" w:hAnsi="Century Gothic" w:cs="Times New Roman"/>
                <w:szCs w:val="22"/>
              </w:rPr>
              <w:t>-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truth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542F00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priority areas for ground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-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truthing and project partners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2"/>
        <w:gridCol w:w="711"/>
        <w:gridCol w:w="1692"/>
        <w:gridCol w:w="826"/>
        <w:gridCol w:w="1057"/>
        <w:gridCol w:w="1390"/>
        <w:gridCol w:w="3136"/>
        <w:gridCol w:w="2192"/>
        <w:gridCol w:w="1302"/>
        <w:gridCol w:w="992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SP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92D05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Shoreline and Streambank Protection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lastRenderedPageBreak/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337307" w:rsidRPr="00606B71" w:rsidTr="00530C8B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SP.1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Repeat shoreline surveys on </w:t>
            </w:r>
            <w:r w:rsidRPr="00337307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Lakes (completed on or before 2012)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Survey and Distribute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606B71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conduct surveys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337307" w:rsidRPr="00606B71" w:rsidTr="00530C8B">
        <w:trPr>
          <w:trHeight w:val="66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SP.2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Repeat streambank inventory on the </w:t>
            </w:r>
            <w:r w:rsidRPr="00337307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River and its tributaries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Funding and Inventory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606B71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conduct survey; Completion of inventory and results summary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337307" w:rsidRPr="00606B71" w:rsidTr="00530C8B">
        <w:trPr>
          <w:trHeight w:val="66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SP.3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Prioritize streambank erosion sites on a subwatershed basis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Matrix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Update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606B71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Convene working group to develop a priori</w:t>
            </w:r>
            <w:r>
              <w:rPr>
                <w:rFonts w:ascii="Century Gothic" w:eastAsia="Times New Roman" w:hAnsi="Century Gothic" w:cs="Times New Roman"/>
                <w:szCs w:val="22"/>
              </w:rPr>
              <w:t>ti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zation matrix to guide streambank projects; update every five years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337307" w:rsidRPr="00606B71" w:rsidTr="00530C8B">
        <w:trPr>
          <w:trHeight w:val="57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SP.4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Restore priority streambank eros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ion sites on the </w:t>
            </w:r>
            <w:r w:rsidRPr="00337307">
              <w:rPr>
                <w:rFonts w:ascii="Century Gothic" w:eastAsia="Times New Roman" w:hAnsi="Century Gothic" w:cs="Times New Roman"/>
                <w:b/>
                <w:bCs/>
                <w:szCs w:val="22"/>
                <w:highlight w:val="yellow"/>
              </w:rPr>
              <w:t>TBD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 River.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Identify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606B71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sites and secure funding to implement projects; 500' streambank stabilized/restored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337307" w:rsidRPr="00606B71" w:rsidTr="00530C8B">
        <w:trPr>
          <w:trHeight w:val="114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SP.5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Implement best management practices (BMPs) on moderate and severe shoreline erosion sites on large inland lakes in conjunction with property owner outreach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Funding and begin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Continue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606B71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implement outreach program; Implement 5 erosion control projects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337307" w:rsidRPr="00606B71" w:rsidTr="00530C8B">
        <w:trPr>
          <w:trHeight w:val="85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SP.7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  <w:t>Promote the Michigan Shoreland Stewards program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$30,000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37307" w:rsidRPr="00542F00" w:rsidRDefault="00337307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Conduct trainings, site assessments, presentations to lake associations; Increase overall program enrollment by 30</w:t>
            </w:r>
            <w:r w:rsidR="00221504" w:rsidRPr="00606B71">
              <w:rPr>
                <w:rFonts w:ascii="Century Gothic" w:eastAsia="Times New Roman" w:hAnsi="Century Gothic" w:cs="Times New Roman"/>
                <w:szCs w:val="22"/>
              </w:rPr>
              <w:t>% on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lakes within Watershed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221504" w:rsidRPr="00606B71" w:rsidTr="00530C8B">
        <w:trPr>
          <w:trHeight w:val="85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SP.8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  <w:t>Promote the use of Certified Natural Shoreline Professionals to riparians for bioengineering  projects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$5,000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542F00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Conduct trainings, site assessments, presentations to lake associations; Increase overall program enrollment by 30</w:t>
            </w:r>
            <w:r w:rsidR="00221504" w:rsidRPr="00606B71">
              <w:rPr>
                <w:rFonts w:ascii="Century Gothic" w:eastAsia="Times New Roman" w:hAnsi="Century Gothic" w:cs="Times New Roman"/>
                <w:szCs w:val="22"/>
              </w:rPr>
              <w:t>% on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lakes within Watershed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221504" w:rsidRPr="00606B71" w:rsidTr="00530C8B">
        <w:trPr>
          <w:trHeight w:val="142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SP.9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  <w:t>Provide riparian property owners with assistance and resources (publications, websites, workshops, and on-site assessments) as they relate to shoreline and streambank management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$30,000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542F00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Conduct at least 10 site assessments/year and 3 workshops (total); 100 site assessments and 3 workshops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198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SP.10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Continue to review DEQ Part 301 Inland Lakes and Streams Permit Applications to evaluate proposed wetland impacts. Submit comments to DEQ regarding anticipated impacts when appropriate and work with</w:t>
            </w:r>
            <w:r>
              <w:rPr>
                <w:rFonts w:ascii="Century Gothic" w:eastAsia="Times New Roman" w:hAnsi="Century Gothic" w:cs="Times New Roman"/>
                <w:szCs w:val="22"/>
              </w:rPr>
              <w:t xml:space="preserve"> applicants to minimize impacts.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$25,000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Respond to all perm</w:t>
            </w:r>
            <w:r>
              <w:rPr>
                <w:rFonts w:ascii="Century Gothic" w:eastAsia="Times New Roman" w:hAnsi="Century Gothic" w:cs="Times New Roman"/>
                <w:szCs w:val="22"/>
              </w:rPr>
              <w:t xml:space="preserve">it applications when potential 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impacts are high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66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SP.11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22150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Repeat streambank inventory on the </w:t>
            </w:r>
            <w:r w:rsidRPr="00221504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River and its tributaries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Funding and Inventory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542F00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conduct survey; Completion of inventory and results summary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66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SP.12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22150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Repeat streambank inventory on the </w:t>
            </w:r>
            <w:r w:rsidRPr="00221504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River and its tributaries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Funding and Inventory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conduct survey; Completion of inventory and results summary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66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SP.13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22150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Restore priority streambank erosion sites on the </w:t>
            </w:r>
            <w:r w:rsidRPr="00221504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River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sites and secure funding to implement projects; 300' streambank restoration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66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SP.14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22150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Restore priority streambank erosion sites on the </w:t>
            </w:r>
            <w:r w:rsidRPr="00221504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River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sites and secure funding to implement projects; 200' streambank restoration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SP.15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22150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Restore priority streambank erosion sites on </w:t>
            </w:r>
            <w:r w:rsidRPr="00221504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Creeks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sites and secure funding to implement projects; 200' streambank restoration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SP.16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 best management practices (BMPs) on moderate and severe shoreline erosion sites on smaller inland lakes in conjunction with property owner outreach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Funding and begin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Continue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implement outreach program; Implement 5 erosion control projects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221504" w:rsidRPr="00606B71" w:rsidTr="00530C8B">
        <w:trPr>
          <w:trHeight w:val="106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SP.1</w:t>
            </w:r>
            <w:r>
              <w:rPr>
                <w:rFonts w:ascii="Century Gothic" w:eastAsia="Times New Roman" w:hAnsi="Century Gothic" w:cs="Times New Roman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Develop and implement cost/share greenbelt program(s) on lakes with supportive lake associations, including demonstration sites</w:t>
            </w:r>
            <w:r>
              <w:rPr>
                <w:rFonts w:ascii="Century Gothic" w:eastAsia="Times New Roman" w:hAnsi="Century Gothic" w:cs="Times New Roman"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Adoption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337307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337307" w:rsidRPr="00606B71" w:rsidRDefault="00337307" w:rsidP="00337307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Adoption of program by at least one lake association; Approximately 20% increase in greenbelts rated good or excellent overall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720"/>
        <w:gridCol w:w="2794"/>
        <w:gridCol w:w="1037"/>
        <w:gridCol w:w="1204"/>
        <w:gridCol w:w="1626"/>
        <w:gridCol w:w="1604"/>
        <w:gridCol w:w="1604"/>
        <w:gridCol w:w="1560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SW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33CCCC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Stormwater Management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lastRenderedPageBreak/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221504" w:rsidRPr="00606B71" w:rsidTr="00530C8B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SW.1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22150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Monitor stormwater discharge to </w:t>
            </w:r>
            <w:r>
              <w:rPr>
                <w:rFonts w:ascii="Century Gothic" w:eastAsia="Times New Roman" w:hAnsi="Century Gothic" w:cs="Times New Roman"/>
                <w:szCs w:val="22"/>
              </w:rPr>
              <w:t xml:space="preserve">TBD 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to establish baseline data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Identify and Funding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Notes: Identify outfalls and monitoring parameters; secure funding; monitor; Distribution of </w:t>
            </w:r>
            <w:r w:rsidR="001D3ABE" w:rsidRPr="00606B71">
              <w:rPr>
                <w:rFonts w:ascii="Century Gothic" w:eastAsia="Times New Roman" w:hAnsi="Century Gothic" w:cs="Times New Roman"/>
                <w:szCs w:val="22"/>
              </w:rPr>
              <w:t>monitoring report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SW.2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Incorporate green infrastructure into new or re-developments where the potential to im</w:t>
            </w:r>
            <w:r>
              <w:rPr>
                <w:rFonts w:ascii="Century Gothic" w:eastAsia="Times New Roman" w:hAnsi="Century Gothic" w:cs="Times New Roman"/>
                <w:szCs w:val="22"/>
              </w:rPr>
              <w:t>pact water resources is present.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Identify and Funding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potential project(s), secure funding, implement and promote/publicize; One or more local examples of green infrastructure, project publicity, public awareness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114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SW.3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Promote green infrastructure to watershed residents to increase stormwater awareness and implementati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on of best management practices.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Develop and Distribute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542F00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funding, develop/distribute green infrastructure publication and other resources to a minimum of 5,000 watershed residents; Print (5,000) and electronic publication, watershed-wide distribution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171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SW.4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22150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Install stormwater best management practices, including rain gardens, oil/grit separators, and other structures in </w:t>
            </w:r>
            <w:r w:rsidRPr="00221504">
              <w:rPr>
                <w:rFonts w:ascii="Century Gothic" w:eastAsia="Times New Roman" w:hAnsi="Century Gothic" w:cs="Times New Roman"/>
                <w:b/>
                <w:bCs/>
                <w:szCs w:val="22"/>
                <w:highlight w:val="yellow"/>
              </w:rPr>
              <w:t>TBD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Identify and Funding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locations and secure f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 xml:space="preserve">unding; Install at least three 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BMPs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221504" w:rsidRPr="00606B71" w:rsidTr="00530C8B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SW.5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Provide developers, builders, architects, and landscape architects with</w:t>
            </w:r>
            <w:r>
              <w:rPr>
                <w:rFonts w:ascii="Century Gothic" w:eastAsia="Times New Roman" w:hAnsi="Century Gothic" w:cs="Times New Roman"/>
                <w:szCs w:val="22"/>
              </w:rPr>
              <w:t xml:space="preserve"> green infrastructure resources.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Workshop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funding, develop workshop(s), promote; Conduct at least one workshop with a minimum of 25 attendees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35"/>
        <w:gridCol w:w="3878"/>
        <w:gridCol w:w="877"/>
        <w:gridCol w:w="1091"/>
        <w:gridCol w:w="1643"/>
        <w:gridCol w:w="1618"/>
        <w:gridCol w:w="1618"/>
        <w:gridCol w:w="1582"/>
        <w:gridCol w:w="277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PZ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CC0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Planning and Zoning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221504" w:rsidRPr="00606B71" w:rsidTr="00530C8B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21504" w:rsidRPr="00606B71" w:rsidRDefault="00181029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PZ.1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5049E2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Utilize the recommendations of the </w:t>
            </w:r>
            <w:r w:rsidR="00181029">
              <w:rPr>
                <w:rFonts w:ascii="Century Gothic" w:eastAsia="Times New Roman" w:hAnsi="Century Gothic" w:cs="Times New Roman"/>
                <w:szCs w:val="22"/>
              </w:rPr>
              <w:t>Antrim</w:t>
            </w:r>
            <w:r w:rsidR="005049E2">
              <w:rPr>
                <w:rFonts w:ascii="Century Gothic" w:eastAsia="Times New Roman" w:hAnsi="Century Gothic" w:cs="Times New Roman"/>
                <w:szCs w:val="22"/>
              </w:rPr>
              <w:t xml:space="preserve"> and Charlevoix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County Gaps Analysis (2013) to encourage adoption of model standards in zoning ordi</w:t>
            </w:r>
            <w:r>
              <w:rPr>
                <w:rFonts w:ascii="Century Gothic" w:eastAsia="Times New Roman" w:hAnsi="Century Gothic" w:cs="Times New Roman"/>
                <w:szCs w:val="22"/>
              </w:rPr>
              <w:t>nances to protect water quality.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$60,000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04" w:rsidRPr="00606B71" w:rsidRDefault="00221504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1504" w:rsidRPr="00606B71" w:rsidRDefault="00221504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44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3 model standards adopted by year 7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E6F8D" w:rsidRPr="00606B71" w:rsidRDefault="005049E2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PZ.2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5049E2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Establish requirement that state permits must be issued for regulated wetlands befo</w:t>
            </w:r>
            <w:r w:rsidR="005049E2">
              <w:rPr>
                <w:rFonts w:ascii="Century Gothic" w:eastAsia="Times New Roman" w:hAnsi="Century Gothic" w:cs="Times New Roman"/>
                <w:szCs w:val="22"/>
              </w:rPr>
              <w:t xml:space="preserve">re a Zoning permit is issued at the county level.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Notes: Majority support established from citizens and local </w:t>
            </w:r>
            <w:r w:rsidR="00736438" w:rsidRPr="00606B71">
              <w:rPr>
                <w:rFonts w:ascii="Century Gothic" w:eastAsia="Times New Roman" w:hAnsi="Century Gothic" w:cs="Times New Roman"/>
                <w:szCs w:val="22"/>
              </w:rPr>
              <w:t>officials by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year 5; State permit approval required by year 7 to protect local wetlands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E6F8D" w:rsidRPr="00606B71" w:rsidRDefault="00181029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>PZ.4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5049E2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Work with </w:t>
            </w:r>
            <w:r w:rsidR="005049E2">
              <w:rPr>
                <w:rFonts w:ascii="Century Gothic" w:eastAsia="Times New Roman" w:hAnsi="Century Gothic" w:cs="Times New Roman"/>
                <w:szCs w:val="22"/>
              </w:rPr>
              <w:t>Antrim, Grand Traverse, Charlevoix, and Kalkaska Counties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to adopt a wetland setback of at least 25', similar to shoreline setbacks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Support and 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Notes: Majority support established from citizens and local </w:t>
            </w:r>
            <w:r w:rsidR="00736438" w:rsidRPr="00606B71">
              <w:rPr>
                <w:rFonts w:ascii="Century Gothic" w:eastAsia="Times New Roman" w:hAnsi="Century Gothic" w:cs="Times New Roman"/>
                <w:szCs w:val="22"/>
              </w:rPr>
              <w:t>officials by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year 6; Setback established to protect wetlands by year 8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198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PZ.6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5049E2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Work with </w:t>
            </w:r>
            <w:r w:rsidR="005049E2">
              <w:rPr>
                <w:rFonts w:ascii="Century Gothic" w:eastAsia="Times New Roman" w:hAnsi="Century Gothic" w:cs="Times New Roman"/>
                <w:szCs w:val="22"/>
              </w:rPr>
              <w:t>each c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ounty to provide incentives for using LID techniques to mitigate impacts of impervious surfaces.  Establish lot coverage limits in all zoning districts to limit impervious surfaces to 15% in exchange for incentives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Support and 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Stakeholders in agreement and supporting change by year 7; Incentive-based lot coverage limits by year 9 to protect surface waters from NPS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85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PZ.7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5049E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Work with </w:t>
            </w:r>
            <w:r w:rsidR="005049E2" w:rsidRPr="005049E2">
              <w:rPr>
                <w:rFonts w:ascii="Century Gothic" w:eastAsia="Times New Roman" w:hAnsi="Century Gothic" w:cs="Times New Roman"/>
                <w:b/>
                <w:bCs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 Township to improve the greenbelt ordinance and solve enforcement issues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Support and Ordinance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Stakeholders in agreement and supporting change by year 1; New ordinance in place with enforcement measures by year 2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57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PZ.9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5049E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Work with </w:t>
            </w:r>
            <w:r w:rsidR="005049E2" w:rsidRPr="005049E2">
              <w:rPr>
                <w:rFonts w:ascii="Century Gothic" w:eastAsia="Times New Roman" w:hAnsi="Century Gothic" w:cs="Times New Roman"/>
                <w:b/>
                <w:bCs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 Township to pass a Time of Transfer Septic Inspection Ordinance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Ordinance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Ordinance language drafted by year 1; Ordinance passed and protecting surface water quality by year 2</w:t>
            </w:r>
            <w:r w:rsidR="00E5526F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45"/>
        <w:gridCol w:w="3148"/>
        <w:gridCol w:w="871"/>
        <w:gridCol w:w="1082"/>
        <w:gridCol w:w="1628"/>
        <w:gridCol w:w="1606"/>
        <w:gridCol w:w="1606"/>
        <w:gridCol w:w="1563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LU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5911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Land Use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6E6F8D" w:rsidRPr="00606B71" w:rsidTr="00530C8B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LU.1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 agricultural BMPs in designated critical areas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and prioritize BMPs, engage with land owner, fundraise; Implement a minimum of 2 BMPs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lastRenderedPageBreak/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LU.2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Promote forestry best management practices to practitioners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Workshop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Conduct Better Back Roads workshops for timber harvesters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15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LU.3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Enroll private property owners in Forest Management programs, such as State of Michigan’s Forest Stewardship Program or Natural Resource Conservation Service’s Environme</w:t>
            </w:r>
            <w:r>
              <w:rPr>
                <w:rFonts w:ascii="Century Gothic" w:eastAsia="Times New Roman" w:hAnsi="Century Gothic" w:cs="Times New Roman"/>
                <w:szCs w:val="22"/>
              </w:rPr>
              <w:t>ntal Quality Incentives Program.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Enroll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private forested lands with high potential to yield water quality benefits; engage with property owners; Increase enrollment in either program by 15%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LU.4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Increase designation of MDNR Forestry Riparian Management Zones to ensure greater water quality protection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Designate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Review current and identify potential RMZs; relay to MDNR; 50% increase in designated RMZs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34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LU.5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Address illegal dumping on MDNR forest lands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recurring dump sites near surface waters; Develop and implement strategies to monitor and control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33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LU.6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Promote MAEAP to agricultural producers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Conduct site assessments to potential enrollees; Increase enrollment by 20% by year 10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67"/>
        <w:gridCol w:w="2978"/>
        <w:gridCol w:w="901"/>
        <w:gridCol w:w="1359"/>
        <w:gridCol w:w="1587"/>
        <w:gridCol w:w="1573"/>
        <w:gridCol w:w="1573"/>
        <w:gridCol w:w="1511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RSX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A9D08E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Road/Stream Crossing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lastRenderedPageBreak/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6E6F8D" w:rsidRPr="00606B71" w:rsidTr="00530C8B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RX.1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B43539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>
              <w:rPr>
                <w:rFonts w:ascii="Century Gothic" w:eastAsia="Times New Roman" w:hAnsi="Century Gothic" w:cs="Times New Roman"/>
                <w:szCs w:val="22"/>
              </w:rPr>
              <w:t xml:space="preserve">Conduct/repeat RSX inventories throughout the Watershed on a priority subwatershed basis, beginning with previously non-inventoried subwatersheds followed by subwatersheds with inventories older than 10 years old.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435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</w:t>
            </w:r>
            <w:r w:rsidR="00B43539">
              <w:rPr>
                <w:rFonts w:ascii="Century Gothic" w:eastAsia="Times New Roman" w:hAnsi="Century Gothic" w:cs="Times New Roman"/>
                <w:szCs w:val="22"/>
              </w:rPr>
              <w:t>22,000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Funding and Inventory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conduct survey; Completion of inventory and results summary; Completion of inventory and upload data to www.northernmichiganstreams.org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85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RX.3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4353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Implement priority RSX projects for improved hydrology, erosion control, and fish passage in the </w:t>
            </w:r>
            <w:r w:rsidR="00B43539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Rapid</w:t>
            </w: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 River Watershed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Identify and Funding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five priority sites and secure funding; Completion of three priority RSX projects by year 10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6E6F8D" w:rsidRPr="00606B71" w:rsidTr="00530C8B">
        <w:trPr>
          <w:trHeight w:val="85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RX.4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4353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Implement priority RSX projects for improved hydrology, erosion control, and fish passage in the </w:t>
            </w:r>
            <w:r w:rsidR="00B43539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Cedar</w:t>
            </w: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 River Watershed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Identify and Funding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D" w:rsidRPr="00606B71" w:rsidRDefault="006E6F8D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D" w:rsidRPr="00606B71" w:rsidRDefault="006E6F8D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E6F8D" w:rsidRPr="00606B71" w:rsidRDefault="006E6F8D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three priority sites and secure funding; Completion of three priority RSX projects by year 10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65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RX.5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43539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 priority RSX projects for improved hydrology, erosion control, and fish passage o</w:t>
            </w:r>
            <w:r w:rsidR="00B43539">
              <w:rPr>
                <w:rFonts w:ascii="Century Gothic" w:eastAsia="Times New Roman" w:hAnsi="Century Gothic" w:cs="Times New Roman"/>
                <w:szCs w:val="22"/>
              </w:rPr>
              <w:t xml:space="preserve">n coldwater streams within the </w:t>
            </w:r>
            <w:r w:rsidR="00B43539" w:rsidRPr="00B43539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="00B43539">
              <w:rPr>
                <w:rFonts w:ascii="Century Gothic" w:eastAsia="Times New Roman" w:hAnsi="Century Gothic" w:cs="Times New Roman"/>
                <w:szCs w:val="22"/>
              </w:rPr>
              <w:t xml:space="preserve"> subw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atershed that support self-sus</w:t>
            </w:r>
            <w:r>
              <w:rPr>
                <w:rFonts w:ascii="Century Gothic" w:eastAsia="Times New Roman" w:hAnsi="Century Gothic" w:cs="Times New Roman"/>
                <w:szCs w:val="22"/>
              </w:rPr>
              <w:t>taining brook trout populations.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Identify and Funding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three priority sites and secure funding; Completion of three priority RSX projects by year 10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632"/>
        <w:gridCol w:w="2659"/>
        <w:gridCol w:w="887"/>
        <w:gridCol w:w="1386"/>
        <w:gridCol w:w="1674"/>
        <w:gridCol w:w="1644"/>
        <w:gridCol w:w="1644"/>
        <w:gridCol w:w="1622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lastRenderedPageBreak/>
              <w:t>LP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C00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Land Protection and Management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4B39FB" w:rsidRPr="00606B71" w:rsidTr="00530C8B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LP.1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Repeat priority parcel process (PPP) for the entire Watershed to identify additional priority parcels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Notes: Evaluate criteria used for PPP; obtain updated data; Complete by year </w:t>
            </w:r>
            <w:r w:rsidR="00B43539">
              <w:rPr>
                <w:rFonts w:ascii="Century Gothic" w:eastAsia="Times New Roman" w:hAnsi="Century Gothic" w:cs="Times New Roman"/>
                <w:szCs w:val="22"/>
              </w:rPr>
              <w:t>10</w:t>
            </w:r>
            <w:r w:rsidR="001D3ABE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LP.2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Permanently protect 1500 acres or more of high and very high priority parcels throughout the Watershed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Outreach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Protect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</w:tr>
      <w:tr w:rsidR="00D4249C" w:rsidRPr="00606B71" w:rsidTr="00530C8B">
        <w:trPr>
          <w:trHeight w:val="87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 Conduct outreach via workshop, newsletters, direct contact or other means to engage with land owners; 1500 ac. permanently protected (700 acres land acquisition, 800 ac. conservation easements)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B765AE" w:rsidRDefault="00B765AE" w:rsidP="00B765AE">
      <w:pPr>
        <w:pStyle w:val="NoSpacing"/>
      </w:pPr>
    </w:p>
    <w:p w:rsidR="00B765AE" w:rsidRDefault="00B765AE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668"/>
        <w:gridCol w:w="3014"/>
        <w:gridCol w:w="896"/>
        <w:gridCol w:w="1201"/>
        <w:gridCol w:w="1619"/>
        <w:gridCol w:w="1599"/>
        <w:gridCol w:w="1599"/>
        <w:gridCol w:w="1552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EH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99CCFF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Ecosystem Health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4B39FB" w:rsidRPr="00606B71" w:rsidTr="00530C8B">
        <w:trPr>
          <w:trHeight w:val="1425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lastRenderedPageBreak/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EH.1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Protect and restore the physio-chemical habitat within the Watershed's priority areas that currently support, or have the potential to support, robust populations of native fish species (e.g. brook trout)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Identify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542F00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priority projects for fish habitat projects based on fish and habitat surveys; Secure funding and implement at least one project by year 10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65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EH.2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Compile known information about small dams within the Watershed. Remotely gather additional information to fill in gaps. Prioritize field assessments and work to meet with pro</w:t>
            </w:r>
            <w:r>
              <w:rPr>
                <w:rFonts w:ascii="Century Gothic" w:eastAsia="Times New Roman" w:hAnsi="Century Gothic" w:cs="Times New Roman"/>
                <w:szCs w:val="22"/>
              </w:rPr>
              <w:t>perty owners to discuss options.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Convene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Notes: Convene small dam projects working group to begin implementation; Report of small dam findings with priority projects and property owners identified. </w:t>
            </w:r>
          </w:p>
        </w:tc>
      </w:tr>
      <w:tr w:rsidR="004B39FB" w:rsidRPr="00606B71" w:rsidTr="00530C8B">
        <w:trPr>
          <w:trHeight w:val="139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EH.3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Develop and implement outreach and education strategy targeting owners of priority small dams.  Focus on ecosystem impacts, dam removal op</w:t>
            </w:r>
            <w:r>
              <w:rPr>
                <w:rFonts w:ascii="Century Gothic" w:eastAsia="Times New Roman" w:hAnsi="Century Gothic" w:cs="Times New Roman"/>
                <w:szCs w:val="22"/>
              </w:rPr>
              <w:t>tions, and available assistance.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Engage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Develop materials packet for distribution; Engage with at least 10 priority small dam owners</w:t>
            </w:r>
            <w:r w:rsidR="00FF6FD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EH.4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Remove priority small dams throughout the Watershed where ecosystem benefits outweigh dam utility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for dam removal; Remove at least two priority small dams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4B39FB" w:rsidRPr="00606B71" w:rsidTr="00530C8B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EH.5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43539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Conduct habitat mapping on </w:t>
            </w:r>
            <w:r w:rsidR="00B43539" w:rsidRPr="00B43539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="00B43539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Creek</w:t>
            </w:r>
            <w:r w:rsidR="00B43539">
              <w:rPr>
                <w:rFonts w:ascii="Century Gothic" w:eastAsia="Times New Roman" w:hAnsi="Century Gothic" w:cs="Times New Roman"/>
                <w:szCs w:val="22"/>
              </w:rPr>
              <w:t>(s)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to establish baseline data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Funding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conduct surveys; Baseline data collected for six streams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EH.7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43539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 fish habitat improv</w:t>
            </w:r>
            <w:r w:rsidR="00B43539">
              <w:rPr>
                <w:rFonts w:ascii="Century Gothic" w:eastAsia="Times New Roman" w:hAnsi="Century Gothic" w:cs="Times New Roman"/>
                <w:szCs w:val="22"/>
              </w:rPr>
              <w:t xml:space="preserve">ement projects on </w:t>
            </w:r>
            <w:r w:rsidR="00B43539" w:rsidRPr="00B43539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="00B43539">
              <w:rPr>
                <w:rFonts w:ascii="Century Gothic" w:eastAsia="Times New Roman" w:hAnsi="Century Gothic" w:cs="Times New Roman"/>
                <w:szCs w:val="22"/>
              </w:rPr>
              <w:t xml:space="preserve"> (major streams)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and their tributaries throughout the Watershed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priority projects for fish habitat projects based on fish and habitat surveys; Secure funding and implement at least three fish habitat projects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83"/>
        <w:gridCol w:w="2922"/>
        <w:gridCol w:w="1216"/>
        <w:gridCol w:w="1163"/>
        <w:gridCol w:w="1567"/>
        <w:gridCol w:w="1556"/>
        <w:gridCol w:w="1556"/>
        <w:gridCol w:w="1486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RSH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D966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Recreation, Safety and Human Health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4B39FB" w:rsidRPr="00606B71" w:rsidTr="00530C8B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RH.1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Monitor public beach</w:t>
            </w:r>
            <w:r>
              <w:rPr>
                <w:rFonts w:ascii="Century Gothic" w:eastAsia="Times New Roman" w:hAnsi="Century Gothic" w:cs="Times New Roman"/>
                <w:szCs w:val="22"/>
              </w:rPr>
              <w:t xml:space="preserve">es annually 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for potential health hazards, report advisories and beach closings via Beachguard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$250/per beach sample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$440,000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184002" w:rsidRDefault="004B39FB" w:rsidP="001840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84002">
              <w:rPr>
                <w:rFonts w:ascii="Century Gothic" w:eastAsia="Times New Roman" w:hAnsi="Century Gothic" w:cs="Times New Roman"/>
                <w:szCs w:val="22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184002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 to implement program annually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4B39FB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RH.2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Increase number of certified Michigan Clean Marinas within the Watershed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$1,600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Promote and certify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Promote program and conduct consultations; At least four new marinas certified by year 10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RH.3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Restrict ORV access to public lands where the potential to impact water resources is high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$30,000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areas where restrictions are needed; Implement measures to restrict access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52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lastRenderedPageBreak/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RH.4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Implement stormwater and erosion BMPs at boat launches and other access points where water quality impacts are noted</w:t>
            </w:r>
            <w:r>
              <w:rPr>
                <w:rFonts w:ascii="Century Gothic" w:eastAsia="Times New Roman" w:hAnsi="Century Gothic" w:cs="Times New Roman"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Report and 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Notes: Identify sites and partners, compile report, prioritize project(s), </w:t>
            </w:r>
            <w:r w:rsidR="00184002" w:rsidRPr="00606B71">
              <w:rPr>
                <w:rFonts w:ascii="Century Gothic" w:eastAsia="Times New Roman" w:hAnsi="Century Gothic" w:cs="Times New Roman"/>
                <w:szCs w:val="22"/>
              </w:rPr>
              <w:t>and improve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3-4 launches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264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RH.5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A20B06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Develop </w:t>
            </w:r>
            <w:r w:rsidR="00A20B06">
              <w:rPr>
                <w:rFonts w:ascii="Century Gothic" w:eastAsia="Times New Roman" w:hAnsi="Century Gothic" w:cs="Times New Roman"/>
                <w:szCs w:val="22"/>
              </w:rPr>
              <w:t>Elk River Chain of Lakes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campaign that includes social media, advertisements, printed materials, and signage that highlights exceptional natural resources, boating safety, clean boating, invasive species, water quality, and </w:t>
            </w:r>
            <w:r w:rsidR="00A20B06">
              <w:rPr>
                <w:rFonts w:ascii="Century Gothic" w:eastAsia="Times New Roman" w:hAnsi="Century Gothic" w:cs="Times New Roman"/>
                <w:szCs w:val="22"/>
              </w:rPr>
              <w:t>water t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rail</w:t>
            </w:r>
            <w:r w:rsidR="00A20B06">
              <w:rPr>
                <w:rFonts w:ascii="Century Gothic" w:eastAsia="Times New Roman" w:hAnsi="Century Gothic" w:cs="Times New Roman"/>
                <w:szCs w:val="22"/>
              </w:rPr>
              <w:t>s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, etc. to educate recreationist</w:t>
            </w:r>
            <w:r>
              <w:rPr>
                <w:rFonts w:ascii="Century Gothic" w:eastAsia="Times New Roman" w:hAnsi="Century Gothic" w:cs="Times New Roman"/>
                <w:szCs w:val="22"/>
              </w:rPr>
              <w:t>s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about both enjoyi</w:t>
            </w:r>
            <w:r>
              <w:rPr>
                <w:rFonts w:ascii="Century Gothic" w:eastAsia="Times New Roman" w:hAnsi="Century Gothic" w:cs="Times New Roman"/>
                <w:szCs w:val="22"/>
              </w:rPr>
              <w:t>ng and protecting the resource.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Convene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Launch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Convene working group to identify needs, develop communications plan, seek funding and additional partners; Launch campaign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RH.6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Provide information and feedback to local and state governments regarding their recreational planning efforts that may impact the Watershed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$6,000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Respond to planning efforts as projects are proposed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RH.7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Promote clean boating practices and state boating regulations at marinas, boat launches, fishing tournaments, events and other public venues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Partner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partner businesses, identify needs and methods to convey message; Partner with at least two businesses to reduce recreational impacts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lastRenderedPageBreak/>
              <w:t>Low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RH.8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Partner with liveries and outfitters to promote low-impact recreation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Partner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partner businesses, identify needs and methods to convey message; Partner with at least two businesses to reduce recreational impacts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741"/>
        <w:gridCol w:w="3040"/>
        <w:gridCol w:w="872"/>
        <w:gridCol w:w="1084"/>
        <w:gridCol w:w="1630"/>
        <w:gridCol w:w="1608"/>
        <w:gridCol w:w="1608"/>
        <w:gridCol w:w="1566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9F5FCF"/>
            <w:noWrap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HG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9F5FCF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Hydrology and Groundwater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4B39FB" w:rsidRPr="00606B71" w:rsidTr="00530C8B">
        <w:trPr>
          <w:trHeight w:val="99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F5FC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HG.1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Assess changes (net gain or loss) in permanently protected lands in areas with high groundwater recharge rates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Compile and Distribute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Complete assessment concurrent with watershed management plan update; Compile and distribute results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  <w:tr w:rsidR="004B39FB" w:rsidRPr="00606B71" w:rsidTr="00530C8B">
        <w:trPr>
          <w:trHeight w:val="1205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F5FC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HG.2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Compile all existing groundwater information, identify problems, determine data gaps, and develop a st</w:t>
            </w:r>
            <w:r>
              <w:rPr>
                <w:rFonts w:ascii="Century Gothic" w:eastAsia="Times New Roman" w:hAnsi="Century Gothic" w:cs="Times New Roman"/>
                <w:szCs w:val="22"/>
              </w:rPr>
              <w:t>rategy for long-term monitoring.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Strategy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Complete compilation and assessment of existing data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728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F5FC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HG.3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Monitor groundwater based on strategy (HG.2)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Monitor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7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funding, identify project partners and implement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F5FCF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HG.4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</w:t>
            </w:r>
            <w:r>
              <w:rPr>
                <w:rFonts w:ascii="Century Gothic" w:eastAsia="Times New Roman" w:hAnsi="Century Gothic" w:cs="Times New Roman"/>
                <w:szCs w:val="22"/>
              </w:rPr>
              <w:t>mploy Landscape Hydrology Model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to assess pollutant loadings and sources concurrent with watershed management plan update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Secure funding, identify project partners, apply model; Incorporate model results into plan update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542F00" w:rsidRPr="00606B71" w:rsidTr="00530C8B">
        <w:trPr>
          <w:trHeight w:val="138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F5FCF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HG.5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 Wellhead Protection Programs (WHPP) in communities where greater protection of groundwater is critical to safeguard agains</w:t>
            </w:r>
            <w:r>
              <w:rPr>
                <w:rFonts w:ascii="Century Gothic" w:eastAsia="Times New Roman" w:hAnsi="Century Gothic" w:cs="Times New Roman"/>
                <w:szCs w:val="22"/>
              </w:rPr>
              <w:t>t drinking water contamination.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Identify and Funding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Develop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42F00" w:rsidRPr="00606B71" w:rsidRDefault="00542F00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communities that are at greatest risk for drinking water contamination; secure funding through WHPP grant program; Develop WHPP for at least one community within Watershed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542F00" w:rsidRPr="00606B71" w:rsidTr="00530C8B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F5FCF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HG.6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Work with area businesses and property owners to encourage proper maintenance, monitoring, and removal of underground fuel storage tanks and other potential hazards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$40,000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Identify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Removal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42F00" w:rsidRPr="00606B71" w:rsidRDefault="00542F00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potential sites for future removal or replacement, secure funding to support; removal or replacement of at least one tank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611"/>
        <w:gridCol w:w="3204"/>
        <w:gridCol w:w="870"/>
        <w:gridCol w:w="1079"/>
        <w:gridCol w:w="1623"/>
        <w:gridCol w:w="1602"/>
        <w:gridCol w:w="1602"/>
        <w:gridCol w:w="1557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TE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00B0F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Threatened, Endangered, and Species of Concern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4B39FB" w:rsidRPr="00606B71" w:rsidTr="00530C8B">
        <w:trPr>
          <w:trHeight w:val="198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lastRenderedPageBreak/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TE.1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A20B06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Protect and restore critical </w:t>
            </w:r>
            <w:r w:rsidR="00A20B06" w:rsidRPr="00A20B06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habitat through stream conservation practices, such as maintaining or establishing sufficient riparian buffers or natural flows, water quality protection, and invasive species management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$60,000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Identify and Funding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priority projects and project partners, secure funding</w:t>
            </w:r>
            <w:r w:rsidR="00184002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p w:rsidR="00B765AE" w:rsidRDefault="00B765AE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734"/>
        <w:gridCol w:w="2244"/>
        <w:gridCol w:w="1396"/>
        <w:gridCol w:w="1168"/>
        <w:gridCol w:w="1558"/>
        <w:gridCol w:w="2026"/>
        <w:gridCol w:w="1549"/>
        <w:gridCol w:w="1474"/>
        <w:gridCol w:w="1070"/>
      </w:tblGrid>
      <w:tr w:rsidR="00D4249C" w:rsidRPr="00606B71" w:rsidTr="00530C8B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AI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660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Aquatic Invasive Species</w:t>
            </w:r>
          </w:p>
        </w:tc>
      </w:tr>
      <w:tr w:rsidR="001D3ABE" w:rsidRPr="00606B71" w:rsidTr="00530C8B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99"/>
            <w:noWrap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C97CB3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D3ABE" w:rsidRPr="00606B71" w:rsidRDefault="001D3ABE" w:rsidP="001D3A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D3ABE" w:rsidRPr="00606B71" w:rsidRDefault="001D3ABE" w:rsidP="001D3ABE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4B39FB" w:rsidRPr="00606B71" w:rsidTr="00530C8B">
        <w:trPr>
          <w:trHeight w:val="855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Report introductions and spread of invasive species to at least one tracking database (USGS, MISIN, etc.)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$20,000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542F00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Report introductions annually beginning year 1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14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Implement on-the-ground management projects to stop the introduction, spread, and distribution of invasive species within the Watershed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$100,000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542F00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Implement at least 20 private or public property projects by year 5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14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Provide property owners with assistance and resources with invasive species management through site assessments, distribution of resources, and other outreach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$50,000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542F00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Perform 50 site assessments and publish 10 widely-distributed AIS articles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 xml:space="preserve"> via newsletters or other media.</w:t>
            </w:r>
          </w:p>
        </w:tc>
      </w:tr>
      <w:tr w:rsidR="004B39FB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Install signage at public boat launches that highlight Clean Boats, Clean Waters program and message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$1,000/sign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Locations and Funding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Install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locations, secure funding; Install 10 signs throughout the Watershed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Conduct volunteer-based boater education program through Clean Boats, Clean Waters program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Recruit and Train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Recruit volunteers, host trai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ning; Conduct boater outreach at popular launches.</w:t>
            </w:r>
          </w:p>
        </w:tc>
      </w:tr>
      <w:tr w:rsidR="004B39FB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Install permanent or access mobile boat washing stations </w:t>
            </w:r>
            <w:r>
              <w:rPr>
                <w:rFonts w:ascii="Century Gothic" w:eastAsia="Times New Roman" w:hAnsi="Century Gothic" w:cs="Times New Roman"/>
                <w:szCs w:val="22"/>
              </w:rPr>
              <w:t>for use at public boat launches.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Varies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Location, Funding, Strategy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Install or Purchase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 Identify locations, secure funding, develop user and operator strategy; Install or purchase either one permanent or two mobile units or combination of both</w:t>
            </w:r>
          </w:p>
        </w:tc>
      </w:tr>
      <w:tr w:rsidR="00542F00" w:rsidRPr="00606B71" w:rsidTr="00530C8B">
        <w:trPr>
          <w:trHeight w:val="99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Recruit and coordinate multiple lake association-based volunteer teams to oper</w:t>
            </w:r>
            <w:r>
              <w:rPr>
                <w:rFonts w:ascii="Century Gothic" w:eastAsia="Times New Roman" w:hAnsi="Century Gothic" w:cs="Times New Roman"/>
                <w:szCs w:val="22"/>
              </w:rPr>
              <w:t>ate boat washing stations (AI.6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)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$30,000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Develop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Operate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Develop and promote program, recruit volunteers, trainings and coordination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542F00" w:rsidRPr="00606B71" w:rsidTr="00530C8B">
        <w:trPr>
          <w:trHeight w:val="132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Monitor and manage purple loosestrife throughout the Watershed with biological control agent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$25,000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 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> </w:t>
            </w: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Notes: Release </w:t>
            </w:r>
            <w:r w:rsidRPr="00E906C7">
              <w:rPr>
                <w:rFonts w:ascii="Century Gothic" w:eastAsia="Times New Roman" w:hAnsi="Century Gothic" w:cs="Times New Roman"/>
                <w:i/>
                <w:szCs w:val="22"/>
              </w:rPr>
              <w:t>Galerucella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beetles annually </w:t>
            </w:r>
          </w:p>
        </w:tc>
      </w:tr>
      <w:tr w:rsidR="00542F00" w:rsidRPr="00606B71" w:rsidTr="00530C8B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Develop volunteer-based aquatic invasive species monitoring program</w:t>
            </w:r>
            <w:r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$15,000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42F00" w:rsidRPr="00606B71" w:rsidRDefault="00542F00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Develop program and begin implementation by year 5; Continue program through year 10</w:t>
            </w:r>
          </w:p>
        </w:tc>
      </w:tr>
      <w:tr w:rsidR="00542F00" w:rsidRPr="00606B71" w:rsidTr="00530C8B">
        <w:trPr>
          <w:trHeight w:val="198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AI.11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A20B06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Eliminate use of lampricide within the </w:t>
            </w:r>
            <w:r w:rsidR="00A20B06" w:rsidRPr="00A20B06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through sterile male release technique (SMRT) or modifyi</w:t>
            </w:r>
            <w:r w:rsidR="00A20B06">
              <w:rPr>
                <w:rFonts w:ascii="Century Gothic" w:eastAsia="Times New Roman" w:hAnsi="Century Gothic" w:cs="Times New Roman"/>
                <w:szCs w:val="22"/>
              </w:rPr>
              <w:t xml:space="preserve">ng the </w:t>
            </w:r>
            <w:r w:rsidR="00A20B06" w:rsidRPr="00A20B06">
              <w:rPr>
                <w:rFonts w:ascii="Century Gothic" w:eastAsia="Times New Roman" w:hAnsi="Century Gothic" w:cs="Times New Roman"/>
                <w:szCs w:val="22"/>
                <w:highlight w:val="yellow"/>
              </w:rPr>
              <w:t>TBD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lock system, or a combination of both in order to treat exist</w:t>
            </w:r>
            <w:r>
              <w:rPr>
                <w:rFonts w:ascii="Century Gothic" w:eastAsia="Times New Roman" w:hAnsi="Century Gothic" w:cs="Times New Roman"/>
                <w:szCs w:val="22"/>
              </w:rPr>
              <w:t>ing and potential populations.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$300,000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SMRT and Research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SMRT and Research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00" w:rsidRPr="00606B71" w:rsidRDefault="00542F00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Pr="00606B71" w:rsidRDefault="00542F00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42F00" w:rsidRPr="00606B71" w:rsidRDefault="00542F00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530C8B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A20B06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Notes: Conduct SMRT for three years beginning in 2017, concurrent with USGS research; Complete initial research by 2020, determine most effective lamprey control measures for the </w:t>
            </w:r>
            <w:r w:rsidR="00A20B06">
              <w:rPr>
                <w:rFonts w:ascii="Century Gothic" w:eastAsia="Times New Roman" w:hAnsi="Century Gothic" w:cs="Times New Roman"/>
                <w:szCs w:val="22"/>
              </w:rPr>
              <w:t>ERCOL.</w:t>
            </w:r>
          </w:p>
        </w:tc>
      </w:tr>
    </w:tbl>
    <w:p w:rsidR="00D4249C" w:rsidRDefault="00D4249C" w:rsidP="00B765AE">
      <w:pPr>
        <w:pStyle w:val="NoSpacing"/>
      </w:pPr>
    </w:p>
    <w:p w:rsidR="00F33EEF" w:rsidRDefault="00F33EEF" w:rsidP="00B765A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18"/>
        <w:gridCol w:w="2819"/>
        <w:gridCol w:w="1041"/>
        <w:gridCol w:w="1205"/>
        <w:gridCol w:w="1644"/>
        <w:gridCol w:w="1619"/>
        <w:gridCol w:w="1619"/>
        <w:gridCol w:w="1584"/>
        <w:gridCol w:w="1070"/>
      </w:tblGrid>
      <w:tr w:rsidR="00D4249C" w:rsidRPr="00606B71" w:rsidTr="007E631D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SS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BF8F00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Septic Systems</w:t>
            </w:r>
          </w:p>
        </w:tc>
      </w:tr>
      <w:tr w:rsidR="00181029" w:rsidRPr="00606B71" w:rsidTr="007E631D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C97CB3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C97CB3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C97CB3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4B39FB" w:rsidRPr="00606B71" w:rsidTr="007E631D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lastRenderedPageBreak/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SS.1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Develop septic system outreach campaign, including incentives such as a se</w:t>
            </w:r>
            <w:r>
              <w:rPr>
                <w:rFonts w:ascii="Century Gothic" w:eastAsia="Times New Roman" w:hAnsi="Century Gothic" w:cs="Times New Roman"/>
                <w:color w:val="000000"/>
                <w:szCs w:val="22"/>
              </w:rPr>
              <w:t>ptic giveaway, free inspections.</w:t>
            </w: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$75,000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Develop and Funding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Implement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7E631D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Develop outreach materials, identify potential project partners, secure funding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7E631D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SS.2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Replace individual septic systems in communities where systems are ineffective or insufficient for given demand with community sewer systems</w:t>
            </w:r>
            <w:r>
              <w:rPr>
                <w:rFonts w:ascii="Century Gothic" w:eastAsia="Times New Roman" w:hAnsi="Century Gothic" w:cs="Times New Roman"/>
                <w:color w:val="000000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 xml:space="preserve">$10,000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$300,000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Identify and Fundraise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color w:val="000000"/>
                <w:szCs w:val="22"/>
              </w:rPr>
              <w:t>Convert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606B71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7E631D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Identify priority community to convert to sewer system, fundraise; Approximately 30 households converted to sewer system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</w:tbl>
    <w:p w:rsidR="00D4249C" w:rsidRDefault="00D4249C" w:rsidP="00B765AE">
      <w:pPr>
        <w:pStyle w:val="NoSpacing"/>
      </w:pPr>
    </w:p>
    <w:p w:rsidR="00B765AE" w:rsidRPr="00A20B06" w:rsidRDefault="00B765AE" w:rsidP="00A20B06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567"/>
        <w:gridCol w:w="2961"/>
        <w:gridCol w:w="882"/>
        <w:gridCol w:w="1221"/>
        <w:gridCol w:w="1657"/>
        <w:gridCol w:w="1630"/>
        <w:gridCol w:w="1630"/>
        <w:gridCol w:w="1600"/>
        <w:gridCol w:w="1070"/>
      </w:tblGrid>
      <w:tr w:rsidR="00D4249C" w:rsidRPr="00606B71" w:rsidTr="007E631D">
        <w:trPr>
          <w:trHeight w:val="1155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EI</w:t>
            </w:r>
          </w:p>
        </w:tc>
        <w:tc>
          <w:tcPr>
            <w:tcW w:w="0" w:type="auto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33CCCC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 w:val="44"/>
                <w:szCs w:val="44"/>
              </w:rPr>
            </w:pPr>
            <w:r w:rsidRPr="00606B71">
              <w:rPr>
                <w:rFonts w:ascii="Century Gothic" w:eastAsia="Times New Roman" w:hAnsi="Century Gothic" w:cs="Times New Roman"/>
                <w:sz w:val="44"/>
                <w:szCs w:val="44"/>
              </w:rPr>
              <w:t>Emerging Issues and Future Threats</w:t>
            </w:r>
          </w:p>
        </w:tc>
      </w:tr>
      <w:tr w:rsidR="00181029" w:rsidRPr="00606B71" w:rsidTr="007E631D">
        <w:trPr>
          <w:trHeight w:val="1440"/>
        </w:trPr>
        <w:tc>
          <w:tcPr>
            <w:tcW w:w="0" w:type="auto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Priority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606B71">
              <w:rPr>
                <w:rFonts w:ascii="Century Gothic" w:eastAsia="Times New Roman" w:hAnsi="Century Gothic" w:cs="Times New Roman"/>
                <w:sz w:val="40"/>
                <w:szCs w:val="40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Unit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Est. Total 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C97CB3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    2018-2019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C97CB3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97CB3">
              <w:rPr>
                <w:rFonts w:ascii="Century Gothic" w:eastAsia="Times New Roman" w:hAnsi="Century Gothic" w:cs="Times New Roman"/>
                <w:sz w:val="28"/>
                <w:szCs w:val="28"/>
              </w:rPr>
              <w:t>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ilestone 2020-2022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C97CB3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Milestone 2023-2027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:rsidR="00181029" w:rsidRPr="00606B71" w:rsidRDefault="00181029" w:rsidP="001810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606B71">
              <w:rPr>
                <w:rFonts w:ascii="Century Gothic" w:eastAsia="Times New Roman" w:hAnsi="Century Gothic" w:cs="Times New Roman"/>
                <w:sz w:val="28"/>
                <w:szCs w:val="28"/>
              </w:rPr>
              <w:t>Potential Project Partners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00CC99"/>
            <w:vAlign w:val="center"/>
          </w:tcPr>
          <w:p w:rsidR="00181029" w:rsidRPr="00606B71" w:rsidRDefault="00181029" w:rsidP="00181029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Notes:</w:t>
            </w:r>
          </w:p>
        </w:tc>
      </w:tr>
      <w:tr w:rsidR="004B39FB" w:rsidRPr="00606B71" w:rsidTr="007E631D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High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EI.1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Conduct education and outreach to local government officials, lake associations, and other community groups and members about Line 5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$100,000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542F00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7E631D">
        <w:trPr>
          <w:trHeight w:val="600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Conduct presentations, workshops, publish articles, press releases, and utilize social media to provide current and accurate information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7E631D">
        <w:trPr>
          <w:trHeight w:val="142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EI.2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Develop climate-change strategies to protect most vulnerable aquatic resources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Funding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542F00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7E631D">
        <w:trPr>
          <w:trHeight w:val="495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Convene working group to identify and prioritize vulnerable areas; develop strategies given climate predictions, disseminate strategies via climate change campaign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</w:p>
        </w:tc>
      </w:tr>
      <w:tr w:rsidR="004B39FB" w:rsidRPr="00606B71" w:rsidTr="007E631D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Medium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EI.3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Monitor microplastics concentrations as new technology becomes available</w:t>
            </w:r>
            <w:r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$250,000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Support and Implement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B" w:rsidRPr="00606B71" w:rsidRDefault="004B39FB" w:rsidP="00BB003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39FB" w:rsidRPr="00542F00" w:rsidRDefault="004B39FB" w:rsidP="00542F00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</w:tr>
      <w:tr w:rsidR="00D4249C" w:rsidRPr="00606B71" w:rsidTr="007E631D">
        <w:trPr>
          <w:trHeight w:val="791"/>
        </w:trPr>
        <w:tc>
          <w:tcPr>
            <w:tcW w:w="0" w:type="auto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C6E0B4"/>
            <w:vAlign w:val="center"/>
            <w:hideMark/>
          </w:tcPr>
          <w:p w:rsidR="00D4249C" w:rsidRPr="00606B71" w:rsidRDefault="00D4249C" w:rsidP="00BB0034">
            <w:pPr>
              <w:spacing w:after="0" w:line="240" w:lineRule="auto"/>
              <w:rPr>
                <w:rFonts w:ascii="Century Gothic" w:eastAsia="Times New Roman" w:hAnsi="Century Gothic" w:cs="Times New Roman"/>
                <w:szCs w:val="22"/>
              </w:rPr>
            </w:pPr>
            <w:r w:rsidRPr="00606B71">
              <w:rPr>
                <w:rFonts w:ascii="Century Gothic" w:eastAsia="Times New Roman" w:hAnsi="Century Gothic" w:cs="Times New Roman"/>
                <w:szCs w:val="22"/>
              </w:rPr>
              <w:t>Notes: Support new research and implement both pilot and permanent technologies where applicable to reduce future microplastics inputs</w:t>
            </w:r>
            <w:r w:rsidR="00E906C7">
              <w:rPr>
                <w:rFonts w:ascii="Century Gothic" w:eastAsia="Times New Roman" w:hAnsi="Century Gothic" w:cs="Times New Roman"/>
                <w:szCs w:val="22"/>
              </w:rPr>
              <w:t>.</w:t>
            </w:r>
            <w:r w:rsidRPr="00606B71">
              <w:rPr>
                <w:rFonts w:ascii="Century Gothic" w:eastAsia="Times New Roman" w:hAnsi="Century Gothic" w:cs="Times New Roman"/>
                <w:szCs w:val="22"/>
              </w:rPr>
              <w:t xml:space="preserve"> </w:t>
            </w:r>
          </w:p>
        </w:tc>
      </w:tr>
    </w:tbl>
    <w:p w:rsidR="00D4249C" w:rsidRDefault="00D4249C"/>
    <w:p w:rsidR="00D83CC8" w:rsidRDefault="00D83CC8">
      <w:bookmarkStart w:id="2" w:name="_GoBack"/>
      <w:bookmarkEnd w:id="0"/>
      <w:bookmarkEnd w:id="2"/>
    </w:p>
    <w:sectPr w:rsidR="00D83CC8" w:rsidSect="00530C8B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pgNumType w:start="2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06" w:rsidRDefault="00B12106" w:rsidP="00D4249C">
      <w:pPr>
        <w:spacing w:after="0" w:line="240" w:lineRule="auto"/>
      </w:pPr>
      <w:r>
        <w:separator/>
      </w:r>
    </w:p>
  </w:endnote>
  <w:endnote w:type="continuationSeparator" w:id="0">
    <w:p w:rsidR="00B12106" w:rsidRDefault="00B12106" w:rsidP="00D4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761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106" w:rsidRDefault="00B12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31D">
          <w:rPr>
            <w:noProof/>
          </w:rPr>
          <w:t>309</w:t>
        </w:r>
        <w:r>
          <w:rPr>
            <w:noProof/>
          </w:rPr>
          <w:fldChar w:fldCharType="end"/>
        </w:r>
      </w:p>
    </w:sdtContent>
  </w:sdt>
  <w:p w:rsidR="00B12106" w:rsidRDefault="00B1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06" w:rsidRDefault="00B12106" w:rsidP="00D4249C">
      <w:pPr>
        <w:spacing w:after="0" w:line="240" w:lineRule="auto"/>
      </w:pPr>
      <w:r>
        <w:separator/>
      </w:r>
    </w:p>
  </w:footnote>
  <w:footnote w:type="continuationSeparator" w:id="0">
    <w:p w:rsidR="00B12106" w:rsidRDefault="00B12106" w:rsidP="00D4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06" w:rsidRDefault="00B12106" w:rsidP="00F33EEF">
    <w:pPr>
      <w:pStyle w:val="Header"/>
      <w:tabs>
        <w:tab w:val="clear" w:pos="4680"/>
        <w:tab w:val="clear" w:pos="9360"/>
        <w:tab w:val="left" w:pos="1803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9C"/>
    <w:rsid w:val="000648F9"/>
    <w:rsid w:val="00067BE4"/>
    <w:rsid w:val="000C2916"/>
    <w:rsid w:val="00181029"/>
    <w:rsid w:val="00184002"/>
    <w:rsid w:val="001D3ABE"/>
    <w:rsid w:val="00221504"/>
    <w:rsid w:val="00250977"/>
    <w:rsid w:val="002F26E2"/>
    <w:rsid w:val="00337307"/>
    <w:rsid w:val="004B39FB"/>
    <w:rsid w:val="004E65DE"/>
    <w:rsid w:val="005049E2"/>
    <w:rsid w:val="00530C8B"/>
    <w:rsid w:val="00542F00"/>
    <w:rsid w:val="006B4652"/>
    <w:rsid w:val="006E6F8D"/>
    <w:rsid w:val="00736438"/>
    <w:rsid w:val="007E631D"/>
    <w:rsid w:val="00893F83"/>
    <w:rsid w:val="009C0159"/>
    <w:rsid w:val="00A20B06"/>
    <w:rsid w:val="00A87D39"/>
    <w:rsid w:val="00B00EAE"/>
    <w:rsid w:val="00B052FE"/>
    <w:rsid w:val="00B12106"/>
    <w:rsid w:val="00B43539"/>
    <w:rsid w:val="00B765AE"/>
    <w:rsid w:val="00B95975"/>
    <w:rsid w:val="00BB0034"/>
    <w:rsid w:val="00C22936"/>
    <w:rsid w:val="00C97CB3"/>
    <w:rsid w:val="00D4249C"/>
    <w:rsid w:val="00D83CC8"/>
    <w:rsid w:val="00E32D0C"/>
    <w:rsid w:val="00E5526F"/>
    <w:rsid w:val="00E61FE5"/>
    <w:rsid w:val="00E906C7"/>
    <w:rsid w:val="00F33EEF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853CC6F-2833-4FF3-88FB-B832DDD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9C"/>
    <w:pPr>
      <w:spacing w:after="360" w:line="264" w:lineRule="auto"/>
    </w:pPr>
    <w:rPr>
      <w:rFonts w:eastAsiaTheme="minorEastAsia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9C"/>
    <w:rPr>
      <w:rFonts w:eastAsiaTheme="minorEastAsia"/>
      <w:szCs w:val="21"/>
    </w:rPr>
  </w:style>
  <w:style w:type="paragraph" w:styleId="Footer">
    <w:name w:val="footer"/>
    <w:basedOn w:val="Normal"/>
    <w:link w:val="FooterChar"/>
    <w:uiPriority w:val="99"/>
    <w:unhideWhenUsed/>
    <w:rsid w:val="00D4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9C"/>
    <w:rPr>
      <w:rFonts w:eastAsiaTheme="minorEastAsia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D4249C"/>
    <w:pPr>
      <w:spacing w:before="20" w:after="0" w:line="240" w:lineRule="auto"/>
    </w:pPr>
    <w:rPr>
      <w:bCs/>
      <w:color w:val="0070C0"/>
      <w:sz w:val="20"/>
      <w:szCs w:val="20"/>
    </w:rPr>
  </w:style>
  <w:style w:type="paragraph" w:styleId="NoSpacing">
    <w:name w:val="No Spacing"/>
    <w:uiPriority w:val="1"/>
    <w:qFormat/>
    <w:rsid w:val="00B765AE"/>
    <w:pPr>
      <w:spacing w:after="0" w:line="240" w:lineRule="auto"/>
    </w:pPr>
    <w:rPr>
      <w:rFonts w:eastAsiaTheme="minorEastAsia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84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002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4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Buchanan</dc:creator>
  <cp:keywords/>
  <dc:description/>
  <cp:lastModifiedBy>Jennifer Buchanan</cp:lastModifiedBy>
  <cp:revision>2</cp:revision>
  <dcterms:created xsi:type="dcterms:W3CDTF">2018-02-16T18:12:00Z</dcterms:created>
  <dcterms:modified xsi:type="dcterms:W3CDTF">2018-02-16T18:12:00Z</dcterms:modified>
</cp:coreProperties>
</file>